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B4A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19119D5B" wp14:editId="53CE7351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44FC4" w14:textId="77777777" w:rsidR="00244453" w:rsidRDefault="00BD652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Math 6</w:t>
      </w:r>
    </w:p>
    <w:p w14:paraId="6DF4C96C" w14:textId="77777777" w:rsidR="00C40AE9" w:rsidRPr="005D53DA" w:rsidRDefault="00445CA0" w:rsidP="00445CA0">
      <w:pPr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241DC1">
        <w:rPr>
          <w:rFonts w:ascii="Calibri" w:eastAsia="Calibri" w:hAnsi="Calibri" w:cs="Times New Roman"/>
          <w:sz w:val="40"/>
        </w:rPr>
        <w:t>4</w:t>
      </w:r>
      <w:r w:rsidR="009A7388">
        <w:rPr>
          <w:rFonts w:ascii="Calibri" w:eastAsia="Calibri" w:hAnsi="Calibri" w:cs="Times New Roman"/>
          <w:sz w:val="40"/>
        </w:rPr>
        <w:t xml:space="preserve"> </w:t>
      </w:r>
      <w:r w:rsidR="00241DC1">
        <w:rPr>
          <w:rFonts w:ascii="Calibri" w:eastAsia="Calibri" w:hAnsi="Calibri" w:cs="Times New Roman"/>
          <w:sz w:val="40"/>
        </w:rPr>
        <w:t>Comparing Ratios</w:t>
      </w:r>
    </w:p>
    <w:p w14:paraId="62E02F6A" w14:textId="77777777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>re not created or maintained by</w:t>
      </w:r>
      <w:r w:rsidR="005D7508">
        <w:rPr>
          <w:rFonts w:ascii="Calibri" w:eastAsia="Calibri" w:hAnsi="Calibri" w:cs="Times New Roman"/>
          <w:sz w:val="24"/>
        </w:rPr>
        <w:t xml:space="preserve"> </w:t>
      </w:r>
      <w:hyperlink r:id="rId8" w:history="1">
        <w:r w:rsidR="00E924BC">
          <w:rPr>
            <w:rStyle w:val="Hyperlink"/>
            <w:rFonts w:ascii="Calibri" w:eastAsia="Calibri" w:hAnsi="Calibri"/>
            <w:noProof/>
          </w:rPr>
          <w:t>MathTeacher</w:t>
        </w:r>
        <w:r w:rsidR="005D7508" w:rsidRPr="005D7508">
          <w:rPr>
            <w:rStyle w:val="Hyperlink"/>
            <w:rFonts w:ascii="Calibri" w:eastAsia="Calibri" w:hAnsi="Calibri"/>
            <w:noProof/>
          </w:rPr>
          <w:t>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nThickSmallGap" w:sz="48" w:space="0" w:color="22C4B5"/>
          <w:right w:val="thinThickSmallGap" w:sz="48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2CB518F3" w14:textId="77777777" w:rsidTr="009F2439">
        <w:trPr>
          <w:jc w:val="center"/>
        </w:trPr>
        <w:tc>
          <w:tcPr>
            <w:tcW w:w="3505" w:type="dxa"/>
          </w:tcPr>
          <w:p w14:paraId="4D87E706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</w:tcPr>
          <w:p w14:paraId="4A960B55" w14:textId="77777777" w:rsidR="00D14CD5" w:rsidRDefault="00D14CD5" w:rsidP="009A7388">
            <w:pPr>
              <w:spacing w:after="0" w:line="240" w:lineRule="auto"/>
              <w:contextualSpacing/>
              <w:jc w:val="center"/>
            </w:pPr>
          </w:p>
          <w:p w14:paraId="71B6B222" w14:textId="136CF9DD" w:rsidR="00992306" w:rsidRDefault="00D14CD5" w:rsidP="009A7388">
            <w:pPr>
              <w:spacing w:after="0" w:line="240" w:lineRule="auto"/>
              <w:contextualSpacing/>
              <w:jc w:val="center"/>
            </w:pPr>
            <w:hyperlink r:id="rId9" w:history="1">
              <w:r w:rsidRPr="005602CD">
                <w:rPr>
                  <w:rStyle w:val="Hyperlink"/>
                </w:rPr>
                <w:t>https://www.khanacademy.org/math/pre-algebra/pre-algebra-ratios-rates/pre-algebra-rates/v/practice-computing-and-comparing-rates</w:t>
              </w:r>
            </w:hyperlink>
          </w:p>
          <w:p w14:paraId="08DCC435" w14:textId="77777777" w:rsidR="00241DC1" w:rsidRDefault="00241DC1" w:rsidP="009A7388">
            <w:pPr>
              <w:spacing w:after="0" w:line="240" w:lineRule="auto"/>
              <w:contextualSpacing/>
              <w:jc w:val="center"/>
            </w:pPr>
          </w:p>
          <w:p w14:paraId="185FD07E" w14:textId="77777777" w:rsidR="00992306" w:rsidRDefault="00000000" w:rsidP="00241DC1">
            <w:pPr>
              <w:spacing w:after="0" w:line="240" w:lineRule="auto"/>
              <w:contextualSpacing/>
              <w:jc w:val="center"/>
            </w:pPr>
            <w:hyperlink r:id="rId10" w:history="1">
              <w:r w:rsidR="00241DC1" w:rsidRPr="00C24A37">
                <w:rPr>
                  <w:rStyle w:val="Hyperlink"/>
                </w:rPr>
                <w:t>https://www.khanacademy.org/math/pre-algebra/pre-algebra-ratios-rates/pre-algebra-rates/e/comparing-rates</w:t>
              </w:r>
            </w:hyperlink>
          </w:p>
          <w:p w14:paraId="2ECE1DD5" w14:textId="77777777" w:rsidR="009A7388" w:rsidRDefault="009A7388" w:rsidP="00445CA0">
            <w:pPr>
              <w:spacing w:after="0" w:line="240" w:lineRule="auto"/>
              <w:contextualSpacing/>
              <w:jc w:val="center"/>
            </w:pPr>
          </w:p>
          <w:p w14:paraId="345B46BA" w14:textId="57E65AD1" w:rsidR="00C40AE9" w:rsidRPr="005D53DA" w:rsidRDefault="00C40AE9" w:rsidP="00241DC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54DE91A1" w14:textId="77777777" w:rsidTr="009F2439">
        <w:trPr>
          <w:jc w:val="center"/>
        </w:trPr>
        <w:tc>
          <w:tcPr>
            <w:tcW w:w="3505" w:type="dxa"/>
          </w:tcPr>
          <w:p w14:paraId="3A8AF1C7" w14:textId="58251AEB" w:rsidR="00C40AE9" w:rsidRPr="005D53DA" w:rsidRDefault="00845264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</w:tcPr>
          <w:p w14:paraId="5DF681CE" w14:textId="7BD8A521" w:rsidR="00C40AE9" w:rsidRPr="005D53DA" w:rsidRDefault="00845264" w:rsidP="00D14CD5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1" w:history="1">
              <w:r w:rsidRPr="00845264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https://quizizz.com/admin/quiz/5ca6d37f492ed5001b07caa9/comparing-ratios?source=MainHeader&amp;page=QuizPage&amp;searchLocale=</w:t>
              </w:r>
            </w:hyperlink>
          </w:p>
        </w:tc>
      </w:tr>
      <w:tr w:rsidR="00C40AE9" w:rsidRPr="005D53DA" w14:paraId="4F9AAF42" w14:textId="77777777" w:rsidTr="009F2439">
        <w:trPr>
          <w:trHeight w:val="1087"/>
          <w:jc w:val="center"/>
        </w:trPr>
        <w:tc>
          <w:tcPr>
            <w:tcW w:w="3505" w:type="dxa"/>
          </w:tcPr>
          <w:p w14:paraId="7985BD81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sz w:val="24"/>
              </w:rPr>
              <w:t>YouTube</w:t>
            </w:r>
          </w:p>
        </w:tc>
        <w:tc>
          <w:tcPr>
            <w:tcW w:w="5125" w:type="dxa"/>
          </w:tcPr>
          <w:p w14:paraId="7DF619D4" w14:textId="77777777" w:rsidR="00D14CD5" w:rsidRDefault="00D14CD5" w:rsidP="00C77458">
            <w:pPr>
              <w:spacing w:after="0" w:line="240" w:lineRule="auto"/>
              <w:contextualSpacing/>
              <w:jc w:val="center"/>
            </w:pPr>
          </w:p>
          <w:p w14:paraId="5DB87BE8" w14:textId="1F84F4E4" w:rsidR="00241DC1" w:rsidRDefault="00845264" w:rsidP="00845264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Pr="005602CD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https://www.youtube.com/watch?v=9Y0MMvVipHs</w:t>
              </w:r>
            </w:hyperlink>
          </w:p>
          <w:p w14:paraId="09764A5A" w14:textId="77777777" w:rsidR="00241DC1" w:rsidRDefault="00241DC1" w:rsidP="00241DC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1A0F14B9" w14:textId="3B36F8E4" w:rsidR="00C40AE9" w:rsidRPr="005D53DA" w:rsidRDefault="00C40AE9" w:rsidP="009F2439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7C425DB3" w14:textId="77777777" w:rsidR="009F2439" w:rsidRPr="009F2439" w:rsidRDefault="009F2439" w:rsidP="009F2439"/>
    <w:sectPr w:rsidR="009F2439" w:rsidRPr="009F2439" w:rsidSect="005D53DA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206D" w14:textId="77777777" w:rsidR="008C1C89" w:rsidRDefault="008C1C89" w:rsidP="00C40AE9">
      <w:pPr>
        <w:spacing w:after="0" w:line="240" w:lineRule="auto"/>
      </w:pPr>
      <w:r>
        <w:separator/>
      </w:r>
    </w:p>
  </w:endnote>
  <w:endnote w:type="continuationSeparator" w:id="0">
    <w:p w14:paraId="5D0848E4" w14:textId="77777777" w:rsidR="008C1C89" w:rsidRDefault="008C1C89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D07B" w14:textId="77777777" w:rsidR="00C40AE9" w:rsidRDefault="00C40AE9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E924BC">
      <w:rPr>
        <w:rFonts w:ascii="Calibri" w:eastAsia="Calibri" w:hAnsi="Calibri"/>
        <w:noProof/>
      </w:rPr>
      <w:t>MathTeacher</w:t>
    </w:r>
    <w:r w:rsidR="00535AB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91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E924BC">
          <w:rPr>
            <w:noProof/>
            <w:lang w:val="en-PH" w:eastAsia="en-PH"/>
          </w:rPr>
          <w:drawing>
            <wp:inline distT="0" distB="0" distL="0" distR="0" wp14:anchorId="060A49FB" wp14:editId="53C4E7A4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="00E924BC" w:rsidRPr="00E924BC">
          <w:rPr>
            <w:noProof/>
          </w:rPr>
          <w:object w:dxaOrig="9726" w:dyaOrig="10918" w14:anchorId="43F767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9303" r:id="rId3">
              <o:FieldCodes>\s</o:FieldCodes>
            </o:OLEObject>
          </w:object>
        </w:r>
      </w:sdtContent>
    </w:sdt>
  </w:p>
  <w:p w14:paraId="4384FD63" w14:textId="77777777" w:rsidR="005D53DA" w:rsidRPr="00C40AE9" w:rsidRDefault="00000000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207B" w14:textId="77777777" w:rsidR="008C1C89" w:rsidRDefault="008C1C89" w:rsidP="00C40AE9">
      <w:pPr>
        <w:spacing w:after="0" w:line="240" w:lineRule="auto"/>
      </w:pPr>
      <w:r>
        <w:separator/>
      </w:r>
    </w:p>
  </w:footnote>
  <w:footnote w:type="continuationSeparator" w:id="0">
    <w:p w14:paraId="63DC3F04" w14:textId="77777777" w:rsidR="008C1C89" w:rsidRDefault="008C1C89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45C0C"/>
    <w:rsid w:val="0006362B"/>
    <w:rsid w:val="000836E9"/>
    <w:rsid w:val="00086E1B"/>
    <w:rsid w:val="000F350F"/>
    <w:rsid w:val="00186409"/>
    <w:rsid w:val="00187DDB"/>
    <w:rsid w:val="001C427A"/>
    <w:rsid w:val="001D2798"/>
    <w:rsid w:val="00241DC1"/>
    <w:rsid w:val="00244453"/>
    <w:rsid w:val="002633AA"/>
    <w:rsid w:val="002F4C51"/>
    <w:rsid w:val="00377004"/>
    <w:rsid w:val="003975BB"/>
    <w:rsid w:val="003C2BEB"/>
    <w:rsid w:val="003C6395"/>
    <w:rsid w:val="004258CD"/>
    <w:rsid w:val="00445CA0"/>
    <w:rsid w:val="00505486"/>
    <w:rsid w:val="00535AB4"/>
    <w:rsid w:val="0055516C"/>
    <w:rsid w:val="005621AC"/>
    <w:rsid w:val="005B2BA6"/>
    <w:rsid w:val="005D6EE2"/>
    <w:rsid w:val="005D7508"/>
    <w:rsid w:val="006A78DC"/>
    <w:rsid w:val="006E3BCE"/>
    <w:rsid w:val="007A35BD"/>
    <w:rsid w:val="007C55C5"/>
    <w:rsid w:val="00845264"/>
    <w:rsid w:val="00851600"/>
    <w:rsid w:val="008C1C89"/>
    <w:rsid w:val="00941339"/>
    <w:rsid w:val="00945142"/>
    <w:rsid w:val="00992306"/>
    <w:rsid w:val="009A7388"/>
    <w:rsid w:val="009B18FA"/>
    <w:rsid w:val="009C16C6"/>
    <w:rsid w:val="009E610F"/>
    <w:rsid w:val="009F2439"/>
    <w:rsid w:val="00A14AC1"/>
    <w:rsid w:val="00A54D3D"/>
    <w:rsid w:val="00A73EEF"/>
    <w:rsid w:val="00AE0F25"/>
    <w:rsid w:val="00B22228"/>
    <w:rsid w:val="00B9786C"/>
    <w:rsid w:val="00BD652C"/>
    <w:rsid w:val="00C25DB3"/>
    <w:rsid w:val="00C30C6A"/>
    <w:rsid w:val="00C40AE9"/>
    <w:rsid w:val="00C5495F"/>
    <w:rsid w:val="00C87D2B"/>
    <w:rsid w:val="00C93DB3"/>
    <w:rsid w:val="00D14CD5"/>
    <w:rsid w:val="00D24B63"/>
    <w:rsid w:val="00D74506"/>
    <w:rsid w:val="00DA35DD"/>
    <w:rsid w:val="00E52D96"/>
    <w:rsid w:val="00E60B74"/>
    <w:rsid w:val="00E90503"/>
    <w:rsid w:val="00E90A79"/>
    <w:rsid w:val="00E924BC"/>
    <w:rsid w:val="00ED1C5E"/>
    <w:rsid w:val="00F5232D"/>
    <w:rsid w:val="00FB4233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C7A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29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metryCoac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9Y0MMvVipH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quizizz.com/admin/quiz/5ca6d37f492ed5001b07caa9/comparing-ratios?source=MainHeader&amp;page=QuizPage&amp;searchLocale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pre-algebra/pre-algebra-ratios-rates/pre-algebra-rates/e/comparing-r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ratios-rates/pre-algebra-rates/v/practice-computing-and-comparing-rat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5153-2C08-4445-8F53-59A064C6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2022-08-17T09:01:00Z</dcterms:created>
  <dcterms:modified xsi:type="dcterms:W3CDTF">2022-08-17T09:02:00Z</dcterms:modified>
</cp:coreProperties>
</file>